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EA69" w14:textId="77777777" w:rsidR="001724E9" w:rsidRPr="001724E9" w:rsidRDefault="00117F85" w:rsidP="002B0C6A">
      <w:pPr>
        <w:tabs>
          <w:tab w:val="center" w:pos="4680"/>
        </w:tabs>
        <w:spacing w:after="0"/>
        <w:ind w:firstLine="2880"/>
        <w:rPr>
          <w:rFonts w:ascii="Arial" w:hAnsi="Arial" w:cs="Arial"/>
          <w:sz w:val="28"/>
          <w:szCs w:val="28"/>
        </w:rPr>
      </w:pPr>
      <w:r w:rsidRPr="001724E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9A106C7" wp14:editId="60EDBE8D">
            <wp:simplePos x="0" y="0"/>
            <wp:positionH relativeFrom="margin">
              <wp:posOffset>-171450</wp:posOffset>
            </wp:positionH>
            <wp:positionV relativeFrom="paragraph">
              <wp:posOffset>171450</wp:posOffset>
            </wp:positionV>
            <wp:extent cx="2260600" cy="1273810"/>
            <wp:effectExtent l="0" t="0" r="0" b="0"/>
            <wp:wrapThrough wrapText="bothSides">
              <wp:wrapPolygon edited="0">
                <wp:start x="1274" y="3230"/>
                <wp:lineTo x="1274" y="19705"/>
                <wp:lineTo x="20204" y="19705"/>
                <wp:lineTo x="19840" y="15505"/>
                <wp:lineTo x="20569" y="4522"/>
                <wp:lineTo x="19112" y="4199"/>
                <wp:lineTo x="5279" y="3230"/>
                <wp:lineTo x="1274" y="3230"/>
              </wp:wrapPolygon>
            </wp:wrapThrough>
            <wp:docPr id="128926867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6867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3F" w:rsidRPr="001724E9">
        <w:rPr>
          <w:rFonts w:ascii="Arial" w:hAnsi="Arial" w:cs="Arial"/>
          <w:sz w:val="28"/>
          <w:szCs w:val="28"/>
        </w:rPr>
        <w:t xml:space="preserve">  </w:t>
      </w:r>
      <w:r w:rsidR="002B0C6A" w:rsidRPr="001724E9">
        <w:rPr>
          <w:rFonts w:ascii="Arial" w:hAnsi="Arial" w:cs="Arial"/>
          <w:sz w:val="28"/>
          <w:szCs w:val="28"/>
        </w:rPr>
        <w:t xml:space="preserve"> </w:t>
      </w:r>
    </w:p>
    <w:p w14:paraId="407694C3" w14:textId="77777777" w:rsidR="0019193F" w:rsidRPr="001724E9" w:rsidRDefault="0019193F" w:rsidP="001724E9">
      <w:pPr>
        <w:tabs>
          <w:tab w:val="center" w:pos="4680"/>
        </w:tabs>
        <w:spacing w:after="0"/>
        <w:ind w:firstLine="2880"/>
        <w:rPr>
          <w:rFonts w:ascii="Arial" w:hAnsi="Arial" w:cs="Arial"/>
          <w:b/>
          <w:bCs/>
          <w:i/>
          <w:iCs/>
          <w:color w:val="6C0000"/>
        </w:rPr>
      </w:pPr>
    </w:p>
    <w:p w14:paraId="2035D5C8" w14:textId="77777777" w:rsidR="0080784B" w:rsidRPr="001724E9" w:rsidRDefault="00117F85" w:rsidP="001724E9">
      <w:pPr>
        <w:tabs>
          <w:tab w:val="center" w:pos="4680"/>
        </w:tabs>
        <w:spacing w:after="0" w:line="240" w:lineRule="auto"/>
        <w:rPr>
          <w:rFonts w:ascii="Arial" w:hAnsi="Arial" w:cs="Arial"/>
          <w:b/>
          <w:bCs/>
          <w:color w:val="6C0000"/>
          <w:sz w:val="48"/>
          <w:szCs w:val="48"/>
        </w:rPr>
      </w:pPr>
      <w:r>
        <w:rPr>
          <w:rFonts w:ascii="Arial" w:hAnsi="Arial" w:cs="Arial"/>
          <w:b/>
          <w:bCs/>
          <w:color w:val="6C0000"/>
          <w:sz w:val="48"/>
          <w:szCs w:val="48"/>
        </w:rPr>
        <w:t>Shivwits Band of Paiutes Jurisdiction</w:t>
      </w:r>
      <w:r w:rsidR="007B6962">
        <w:rPr>
          <w:rFonts w:ascii="Arial" w:hAnsi="Arial" w:cs="Arial"/>
          <w:b/>
          <w:bCs/>
          <w:color w:val="6C0000"/>
          <w:sz w:val="48"/>
          <w:szCs w:val="48"/>
        </w:rPr>
        <w:t>al Clarity</w:t>
      </w:r>
      <w:r>
        <w:rPr>
          <w:rFonts w:ascii="Arial" w:hAnsi="Arial" w:cs="Arial"/>
          <w:b/>
          <w:bCs/>
          <w:color w:val="6C0000"/>
          <w:sz w:val="48"/>
          <w:szCs w:val="48"/>
        </w:rPr>
        <w:t xml:space="preserve"> Act</w:t>
      </w:r>
    </w:p>
    <w:p w14:paraId="4C57246F" w14:textId="77777777" w:rsidR="005F0A97" w:rsidRDefault="005F0A97" w:rsidP="0080784B">
      <w:pPr>
        <w:tabs>
          <w:tab w:val="center" w:pos="4680"/>
        </w:tabs>
        <w:spacing w:after="0"/>
        <w:jc w:val="center"/>
        <w:rPr>
          <w:rFonts w:ascii="Arial" w:hAnsi="Arial" w:cs="Arial"/>
          <w:b/>
          <w:bCs/>
          <w:i/>
          <w:iCs/>
          <w:color w:val="6C0000"/>
        </w:rPr>
      </w:pPr>
    </w:p>
    <w:p w14:paraId="461D9ACE" w14:textId="77777777" w:rsidR="005F0A97" w:rsidRPr="007B6962" w:rsidRDefault="005F0A97" w:rsidP="0080784B">
      <w:pPr>
        <w:tabs>
          <w:tab w:val="center" w:pos="4680"/>
        </w:tabs>
        <w:spacing w:after="0"/>
        <w:jc w:val="center"/>
        <w:rPr>
          <w:rFonts w:ascii="Arial" w:hAnsi="Arial" w:cs="Arial"/>
          <w:b/>
          <w:bCs/>
          <w:i/>
          <w:iCs/>
          <w:color w:val="6C0000"/>
          <w:sz w:val="20"/>
          <w:szCs w:val="20"/>
        </w:rPr>
      </w:pPr>
    </w:p>
    <w:p w14:paraId="78C89A90" w14:textId="77777777" w:rsidR="005F0A97" w:rsidRPr="007B6962" w:rsidRDefault="005F0A97" w:rsidP="0080784B">
      <w:pPr>
        <w:tabs>
          <w:tab w:val="center" w:pos="4680"/>
        </w:tabs>
        <w:spacing w:after="0"/>
        <w:jc w:val="center"/>
        <w:rPr>
          <w:rFonts w:ascii="Arial" w:hAnsi="Arial" w:cs="Arial"/>
          <w:b/>
          <w:bCs/>
          <w:i/>
          <w:iCs/>
          <w:color w:val="6C0000"/>
          <w:sz w:val="20"/>
          <w:szCs w:val="20"/>
        </w:rPr>
      </w:pPr>
    </w:p>
    <w:p w14:paraId="42DE7C53" w14:textId="77777777" w:rsidR="00846E96" w:rsidRPr="008C7589" w:rsidRDefault="00117F85" w:rsidP="008C7589">
      <w:pPr>
        <w:tabs>
          <w:tab w:val="center" w:pos="4680"/>
        </w:tabs>
        <w:spacing w:after="0"/>
        <w:jc w:val="center"/>
        <w:rPr>
          <w:rFonts w:ascii="Arial" w:hAnsi="Arial" w:cs="Arial"/>
          <w:b/>
          <w:bCs/>
          <w:i/>
          <w:iCs/>
          <w:color w:val="6C0000"/>
        </w:rPr>
      </w:pPr>
      <w:r w:rsidRPr="001724E9">
        <w:rPr>
          <w:rFonts w:ascii="Arial" w:hAnsi="Arial" w:cs="Arial"/>
          <w:b/>
          <w:bCs/>
          <w:i/>
          <w:iCs/>
          <w:color w:val="6C0000"/>
        </w:rPr>
        <w:t>Serving Utah’s Second District</w:t>
      </w:r>
    </w:p>
    <w:p w14:paraId="6C545949" w14:textId="77777777" w:rsidR="005F0A97" w:rsidRDefault="005F0A97" w:rsidP="007B6962">
      <w:pPr>
        <w:tabs>
          <w:tab w:val="center" w:pos="4680"/>
        </w:tabs>
        <w:spacing w:after="0"/>
        <w:rPr>
          <w:rFonts w:ascii="Arial" w:hAnsi="Arial" w:cs="Arial"/>
          <w:b/>
          <w:bCs/>
          <w:color w:val="6C0000"/>
          <w:sz w:val="26"/>
          <w:szCs w:val="26"/>
        </w:rPr>
      </w:pPr>
    </w:p>
    <w:p w14:paraId="7AF23D40" w14:textId="77777777" w:rsidR="0019193F" w:rsidRDefault="00117F85" w:rsidP="0019193F">
      <w:pPr>
        <w:tabs>
          <w:tab w:val="center" w:pos="4680"/>
        </w:tabs>
        <w:rPr>
          <w:rFonts w:ascii="Arial" w:hAnsi="Arial" w:cs="Arial"/>
          <w:b/>
          <w:bCs/>
          <w:color w:val="6C0000"/>
          <w:sz w:val="26"/>
          <w:szCs w:val="26"/>
        </w:rPr>
      </w:pPr>
      <w:r>
        <w:rPr>
          <w:rFonts w:ascii="Arial" w:hAnsi="Arial" w:cs="Arial"/>
          <w:b/>
          <w:bCs/>
          <w:color w:val="6C0000"/>
          <w:sz w:val="26"/>
          <w:szCs w:val="26"/>
        </w:rPr>
        <w:t>Background</w:t>
      </w:r>
    </w:p>
    <w:p w14:paraId="3A24CA7E" w14:textId="77777777" w:rsidR="005F0A97" w:rsidRPr="008C7589" w:rsidRDefault="00117F85" w:rsidP="00995926">
      <w:pPr>
        <w:tabs>
          <w:tab w:val="center" w:pos="4680"/>
        </w:tabs>
        <w:jc w:val="both"/>
        <w:rPr>
          <w:rFonts w:ascii="Arial" w:hAnsi="Arial" w:cs="Arial"/>
          <w:b/>
          <w:bCs/>
          <w:color w:val="6C0000"/>
        </w:rPr>
      </w:pPr>
      <w:r w:rsidRPr="008C7589">
        <w:rPr>
          <w:rFonts w:ascii="Arial" w:hAnsi="Arial" w:cs="Arial"/>
        </w:rPr>
        <w:t xml:space="preserve">The Shivwits Band of Paiutes </w:t>
      </w:r>
      <w:r w:rsidR="007B6962">
        <w:rPr>
          <w:rFonts w:ascii="Arial" w:hAnsi="Arial" w:cs="Arial"/>
        </w:rPr>
        <w:t xml:space="preserve">(the “Shivwits Band”) </w:t>
      </w:r>
      <w:r w:rsidRPr="008C7589">
        <w:rPr>
          <w:rFonts w:ascii="Arial" w:hAnsi="Arial" w:cs="Arial"/>
        </w:rPr>
        <w:t xml:space="preserve">seeks jurisdictional clarity for civil causes of action on </w:t>
      </w:r>
      <w:r w:rsidR="00995926">
        <w:rPr>
          <w:rFonts w:ascii="Arial" w:hAnsi="Arial" w:cs="Arial"/>
        </w:rPr>
        <w:t xml:space="preserve">Shivwits </w:t>
      </w:r>
      <w:r w:rsidR="007B6962">
        <w:rPr>
          <w:rFonts w:ascii="Arial" w:hAnsi="Arial" w:cs="Arial"/>
        </w:rPr>
        <w:t xml:space="preserve">Band </w:t>
      </w:r>
      <w:r w:rsidRPr="008C7589">
        <w:rPr>
          <w:rFonts w:ascii="Arial" w:hAnsi="Arial" w:cs="Arial"/>
        </w:rPr>
        <w:t xml:space="preserve">Indian lands to </w:t>
      </w:r>
      <w:r w:rsidR="00995926">
        <w:rPr>
          <w:rFonts w:ascii="Arial" w:hAnsi="Arial" w:cs="Arial"/>
        </w:rPr>
        <w:t>ensure that both the Shivwits Band and third parties seeking to engage in business and development on Shivwits Band Indian lands have access to a state or federal court forum to resolve disputes</w:t>
      </w:r>
      <w:r w:rsidRPr="008C7589">
        <w:rPr>
          <w:rFonts w:ascii="Arial" w:hAnsi="Arial" w:cs="Arial"/>
        </w:rPr>
        <w:t>.</w:t>
      </w:r>
    </w:p>
    <w:p w14:paraId="3079228F" w14:textId="77777777" w:rsidR="005F0A97" w:rsidRDefault="00117F85" w:rsidP="00FD74C6">
      <w:pPr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</w:pPr>
      <w:r w:rsidRPr="00CF6154"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  <w:t>Problem</w:t>
      </w:r>
    </w:p>
    <w:p w14:paraId="322F992C" w14:textId="77777777" w:rsidR="00A520A4" w:rsidRPr="002256B8" w:rsidRDefault="00117F85" w:rsidP="00995926">
      <w:pPr>
        <w:jc w:val="both"/>
        <w:rPr>
          <w:rFonts w:ascii="Arial" w:eastAsia="Times New Roman" w:hAnsi="Arial" w:cs="Arial"/>
          <w:kern w:val="0"/>
          <w14:ligatures w14:val="none"/>
        </w:rPr>
      </w:pPr>
      <w:r w:rsidRPr="002256B8">
        <w:rPr>
          <w:rFonts w:ascii="Arial" w:eastAsia="Times New Roman" w:hAnsi="Arial" w:cs="Arial"/>
          <w:kern w:val="0"/>
          <w14:ligatures w14:val="none"/>
        </w:rPr>
        <w:t xml:space="preserve">The Shivwits Band </w:t>
      </w:r>
      <w:proofErr w:type="gramStart"/>
      <w:r w:rsidR="00995926">
        <w:rPr>
          <w:rFonts w:ascii="Arial" w:eastAsia="Times New Roman" w:hAnsi="Arial" w:cs="Arial"/>
          <w:kern w:val="0"/>
          <w14:ligatures w14:val="none"/>
        </w:rPr>
        <w:t>is in need of</w:t>
      </w:r>
      <w:proofErr w:type="gramEnd"/>
      <w:r w:rsidRPr="002256B8">
        <w:rPr>
          <w:rFonts w:ascii="Arial" w:eastAsia="Times New Roman" w:hAnsi="Arial" w:cs="Arial"/>
          <w:kern w:val="0"/>
          <w14:ligatures w14:val="none"/>
        </w:rPr>
        <w:t xml:space="preserve"> a clear legal framework </w:t>
      </w:r>
      <w:r w:rsidR="00995926">
        <w:rPr>
          <w:rFonts w:ascii="Arial" w:eastAsia="Times New Roman" w:hAnsi="Arial" w:cs="Arial"/>
          <w:kern w:val="0"/>
          <w14:ligatures w14:val="none"/>
        </w:rPr>
        <w:t xml:space="preserve">establishing a path to resolution of </w:t>
      </w:r>
      <w:r w:rsidRPr="002256B8">
        <w:rPr>
          <w:rFonts w:ascii="Arial" w:eastAsia="Times New Roman" w:hAnsi="Arial" w:cs="Arial"/>
          <w:kern w:val="0"/>
          <w14:ligatures w14:val="none"/>
        </w:rPr>
        <w:t xml:space="preserve">civil </w:t>
      </w:r>
      <w:r w:rsidR="00995926">
        <w:rPr>
          <w:rFonts w:ascii="Arial" w:eastAsia="Times New Roman" w:hAnsi="Arial" w:cs="Arial"/>
          <w:kern w:val="0"/>
          <w14:ligatures w14:val="none"/>
        </w:rPr>
        <w:t xml:space="preserve">actions arising on Shivwits Band Indian lands. Without this clear legal framework, the Shivwits Band </w:t>
      </w:r>
      <w:r w:rsidR="007B6962">
        <w:rPr>
          <w:rFonts w:ascii="Arial" w:eastAsia="Times New Roman" w:hAnsi="Arial" w:cs="Arial"/>
          <w:kern w:val="0"/>
          <w14:ligatures w14:val="none"/>
        </w:rPr>
        <w:t>cannot engage investors in furtherance of its economic development and is unable to put its Indian lands to the highest and best use.</w:t>
      </w:r>
    </w:p>
    <w:p w14:paraId="671402ED" w14:textId="77777777" w:rsidR="004E53AF" w:rsidRDefault="00117F85" w:rsidP="00CF6154">
      <w:pPr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</w:pPr>
      <w:r w:rsidRPr="00CF6154"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  <w:t>Solution</w:t>
      </w:r>
    </w:p>
    <w:p w14:paraId="05C1250E" w14:textId="77777777" w:rsidR="00C63BAE" w:rsidRPr="00C63BAE" w:rsidRDefault="00117F85" w:rsidP="007B6962">
      <w:pPr>
        <w:jc w:val="both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This legislation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affirms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 Utah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 xml:space="preserve"> State court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 jurisdiction over civil cases involving the Shivwits Band that occur on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its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Indian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 lands. Civil disputes can now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 xml:space="preserve">definitively 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be resolved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in a Utah State court forum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>, offering a clearer legal structure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 xml:space="preserve"> to potential investment partners and the Shivwits Band itself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>.</w:t>
      </w:r>
      <w:r w:rsidR="002256B8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The legislation</w:t>
      </w:r>
      <w:r w:rsidR="002256B8">
        <w:rPr>
          <w:rFonts w:ascii="Arial" w:eastAsia="Times New Roman" w:hAnsi="Arial" w:cs="Arial"/>
          <w:color w:val="242424"/>
          <w:kern w:val="0"/>
          <w14:ligatures w14:val="none"/>
        </w:rPr>
        <w:t xml:space="preserve"> also 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ensures that the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Shivwits Band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>’s sovereign immunity remains intact unless explicitly waive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d by the Band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. This safeguards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the Shivwits Band’s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 immunity from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 xml:space="preserve">unconsented suits while ensuring that the Shivwits Band </w:t>
      </w:r>
      <w:proofErr w:type="gramStart"/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is able to</w:t>
      </w:r>
      <w:proofErr w:type="gramEnd"/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 xml:space="preserve"> consent to Utah State court jurisdiction in contracts and agreements to which the Shivwits Band is a party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>.</w:t>
      </w:r>
    </w:p>
    <w:p w14:paraId="5DB72D3A" w14:textId="77777777" w:rsidR="00C63BAE" w:rsidRPr="00C63BAE" w:rsidRDefault="00117F85" w:rsidP="007B6962">
      <w:pPr>
        <w:jc w:val="both"/>
        <w:rPr>
          <w:rFonts w:ascii="Arial" w:eastAsia="Times New Roman" w:hAnsi="Arial" w:cs="Arial"/>
          <w:color w:val="242424"/>
          <w:kern w:val="0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14:ligatures w14:val="none"/>
        </w:rPr>
        <w:t>In addition to Utah State court jurisdiction, the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 legislation </w:t>
      </w:r>
      <w:r>
        <w:rPr>
          <w:rFonts w:ascii="Arial" w:eastAsia="Times New Roman" w:hAnsi="Arial" w:cs="Arial"/>
          <w:color w:val="242424"/>
          <w:kern w:val="0"/>
          <w14:ligatures w14:val="none"/>
        </w:rPr>
        <w:t>also ensures that Federal court is available to resolve disputes arising under contracts to which the Shivwits Band is a party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. </w:t>
      </w:r>
      <w:r>
        <w:rPr>
          <w:rFonts w:ascii="Arial" w:eastAsia="Times New Roman" w:hAnsi="Arial" w:cs="Arial"/>
          <w:color w:val="242424"/>
          <w:kern w:val="0"/>
          <w14:ligatures w14:val="none"/>
        </w:rPr>
        <w:t>These d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isputes are treated as civil actions </w:t>
      </w:r>
      <w:r>
        <w:rPr>
          <w:rFonts w:ascii="Arial" w:eastAsia="Times New Roman" w:hAnsi="Arial" w:cs="Arial"/>
          <w:color w:val="242424"/>
          <w:kern w:val="0"/>
          <w14:ligatures w14:val="none"/>
        </w:rPr>
        <w:t xml:space="preserve">arising 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under federal law, providing </w:t>
      </w:r>
      <w:r>
        <w:rPr>
          <w:rFonts w:ascii="Arial" w:eastAsia="Times New Roman" w:hAnsi="Arial" w:cs="Arial"/>
          <w:color w:val="242424"/>
          <w:kern w:val="0"/>
          <w14:ligatures w14:val="none"/>
        </w:rPr>
        <w:t>further clarity on accessible forums in which to resolve issues arising on Shivwits Band Indian lands.</w:t>
      </w:r>
    </w:p>
    <w:p w14:paraId="574EEB2D" w14:textId="77777777" w:rsidR="00034EF9" w:rsidRPr="001724E9" w:rsidRDefault="00117F85" w:rsidP="007B6962">
      <w:pPr>
        <w:jc w:val="both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>Lastly, th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 xml:space="preserve">e legislation 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expands existing law to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 xml:space="preserve">provide the 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Shivwits Band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 xml:space="preserve">with the same ability already afforded to numerous other tribes, so that the Shivwits Band may agree to leases of its Indian lands for extended terms. 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This aims to support economic development within </w:t>
      </w:r>
      <w:r w:rsidR="007B6962">
        <w:rPr>
          <w:rFonts w:ascii="Arial" w:eastAsia="Times New Roman" w:hAnsi="Arial" w:cs="Arial"/>
          <w:color w:val="242424"/>
          <w:kern w:val="0"/>
          <w14:ligatures w14:val="none"/>
        </w:rPr>
        <w:t>the Shivwits Band’s</w:t>
      </w:r>
      <w:r w:rsidRPr="00C63BAE">
        <w:rPr>
          <w:rFonts w:ascii="Arial" w:eastAsia="Times New Roman" w:hAnsi="Arial" w:cs="Arial"/>
          <w:color w:val="242424"/>
          <w:kern w:val="0"/>
          <w14:ligatures w14:val="none"/>
        </w:rPr>
        <w:t xml:space="preserve"> community.</w:t>
      </w:r>
    </w:p>
    <w:sectPr w:rsidR="00034EF9" w:rsidRPr="001724E9" w:rsidSect="007B6962">
      <w:pgSz w:w="12240" w:h="15840"/>
      <w:pgMar w:top="576" w:right="1440" w:bottom="1296" w:left="1440" w:header="720" w:footer="720" w:gutter="0"/>
      <w:pgBorders w:offsetFrom="page">
        <w:top w:val="single" w:sz="24" w:space="24" w:color="80340D" w:themeColor="accent2" w:themeShade="80"/>
        <w:left w:val="single" w:sz="24" w:space="24" w:color="80340D" w:themeColor="accent2" w:themeShade="80"/>
        <w:bottom w:val="single" w:sz="24" w:space="24" w:color="80340D" w:themeColor="accent2" w:themeShade="80"/>
        <w:right w:val="single" w:sz="24" w:space="24" w:color="80340D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3F"/>
    <w:rsid w:val="00001027"/>
    <w:rsid w:val="000053C3"/>
    <w:rsid w:val="00034EF9"/>
    <w:rsid w:val="000433C1"/>
    <w:rsid w:val="00044A1D"/>
    <w:rsid w:val="00047961"/>
    <w:rsid w:val="00064018"/>
    <w:rsid w:val="00064C67"/>
    <w:rsid w:val="000B4555"/>
    <w:rsid w:val="000C401F"/>
    <w:rsid w:val="000D2284"/>
    <w:rsid w:val="000F128B"/>
    <w:rsid w:val="0011778D"/>
    <w:rsid w:val="00117F85"/>
    <w:rsid w:val="00131E5C"/>
    <w:rsid w:val="0014011A"/>
    <w:rsid w:val="001724E9"/>
    <w:rsid w:val="00175944"/>
    <w:rsid w:val="0019193F"/>
    <w:rsid w:val="001A157C"/>
    <w:rsid w:val="001A7B24"/>
    <w:rsid w:val="001D3684"/>
    <w:rsid w:val="001D36D4"/>
    <w:rsid w:val="002256B8"/>
    <w:rsid w:val="00265777"/>
    <w:rsid w:val="00265EB6"/>
    <w:rsid w:val="002746CF"/>
    <w:rsid w:val="002B0C6A"/>
    <w:rsid w:val="002C324D"/>
    <w:rsid w:val="002D2C8D"/>
    <w:rsid w:val="002F1EC9"/>
    <w:rsid w:val="002F3B0F"/>
    <w:rsid w:val="0030008F"/>
    <w:rsid w:val="00346D52"/>
    <w:rsid w:val="00356C40"/>
    <w:rsid w:val="00366722"/>
    <w:rsid w:val="00367DFE"/>
    <w:rsid w:val="00371DA3"/>
    <w:rsid w:val="00375E66"/>
    <w:rsid w:val="003B4AC5"/>
    <w:rsid w:val="003D56AB"/>
    <w:rsid w:val="00454A08"/>
    <w:rsid w:val="004C3704"/>
    <w:rsid w:val="004C55C5"/>
    <w:rsid w:val="004D508D"/>
    <w:rsid w:val="004E1FA2"/>
    <w:rsid w:val="004E53AF"/>
    <w:rsid w:val="004E5B81"/>
    <w:rsid w:val="005037E6"/>
    <w:rsid w:val="00526B2E"/>
    <w:rsid w:val="00546E9A"/>
    <w:rsid w:val="00583E23"/>
    <w:rsid w:val="005B5E8C"/>
    <w:rsid w:val="005D3E91"/>
    <w:rsid w:val="005F0A97"/>
    <w:rsid w:val="00606F4D"/>
    <w:rsid w:val="0062445C"/>
    <w:rsid w:val="00643575"/>
    <w:rsid w:val="0066271F"/>
    <w:rsid w:val="00667F59"/>
    <w:rsid w:val="00696884"/>
    <w:rsid w:val="006E3BD6"/>
    <w:rsid w:val="007549ED"/>
    <w:rsid w:val="007555FE"/>
    <w:rsid w:val="00782127"/>
    <w:rsid w:val="00790BC1"/>
    <w:rsid w:val="00792E4E"/>
    <w:rsid w:val="007B44BE"/>
    <w:rsid w:val="007B6962"/>
    <w:rsid w:val="007C483D"/>
    <w:rsid w:val="0080784B"/>
    <w:rsid w:val="0081226C"/>
    <w:rsid w:val="00836D42"/>
    <w:rsid w:val="00843643"/>
    <w:rsid w:val="00846E96"/>
    <w:rsid w:val="00854AC0"/>
    <w:rsid w:val="008739D8"/>
    <w:rsid w:val="008C7589"/>
    <w:rsid w:val="008F213A"/>
    <w:rsid w:val="008F5857"/>
    <w:rsid w:val="009646F4"/>
    <w:rsid w:val="00971502"/>
    <w:rsid w:val="00981843"/>
    <w:rsid w:val="00995926"/>
    <w:rsid w:val="009B3969"/>
    <w:rsid w:val="009F01E9"/>
    <w:rsid w:val="00A32035"/>
    <w:rsid w:val="00A50CA0"/>
    <w:rsid w:val="00A520A4"/>
    <w:rsid w:val="00A55CD7"/>
    <w:rsid w:val="00AB64DA"/>
    <w:rsid w:val="00AE6426"/>
    <w:rsid w:val="00B7059F"/>
    <w:rsid w:val="00B95BF8"/>
    <w:rsid w:val="00BE04BE"/>
    <w:rsid w:val="00C01B2B"/>
    <w:rsid w:val="00C113B5"/>
    <w:rsid w:val="00C4470A"/>
    <w:rsid w:val="00C47B7D"/>
    <w:rsid w:val="00C63BAE"/>
    <w:rsid w:val="00C72127"/>
    <w:rsid w:val="00C936A1"/>
    <w:rsid w:val="00CA674D"/>
    <w:rsid w:val="00CB307B"/>
    <w:rsid w:val="00CC683F"/>
    <w:rsid w:val="00CD19A6"/>
    <w:rsid w:val="00CF6154"/>
    <w:rsid w:val="00D6497B"/>
    <w:rsid w:val="00D659C2"/>
    <w:rsid w:val="00D869C9"/>
    <w:rsid w:val="00DB3A6E"/>
    <w:rsid w:val="00DD4BA0"/>
    <w:rsid w:val="00EA53EF"/>
    <w:rsid w:val="00EA6FF2"/>
    <w:rsid w:val="00F07916"/>
    <w:rsid w:val="00F10BD3"/>
    <w:rsid w:val="00F11D8E"/>
    <w:rsid w:val="00F217A7"/>
    <w:rsid w:val="00F3582F"/>
    <w:rsid w:val="00F46C73"/>
    <w:rsid w:val="00FB22AE"/>
    <w:rsid w:val="00FC43E1"/>
    <w:rsid w:val="00FD74C6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7524"/>
  <w15:chartTrackingRefBased/>
  <w15:docId w15:val="{FFC530C7-3FAE-4289-8E34-8F35915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FA2"/>
  </w:style>
  <w:style w:type="paragraph" w:styleId="Footer">
    <w:name w:val="footer"/>
    <w:basedOn w:val="Normal"/>
    <w:link w:val="FooterChar"/>
    <w:uiPriority w:val="99"/>
    <w:unhideWhenUsed/>
    <w:rsid w:val="004E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FA2"/>
  </w:style>
  <w:style w:type="character" w:customStyle="1" w:styleId="DocID">
    <w:name w:val="DocID"/>
    <w:basedOn w:val="DefaultParagraphFont"/>
    <w:rsid w:val="004E1FA2"/>
    <w:rPr>
      <w:rFonts w:ascii="Franklin Gothic Book" w:hAnsi="Franklin Gothic Book" w:cs="Arial"/>
      <w:b w:val="0"/>
      <w:i w:val="0"/>
      <w:caps w:val="0"/>
      <w:vanish w:val="0"/>
      <w:color w:val="000000"/>
      <w:sz w:val="16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 i M a n a g e D o c s ! 9 3 2 4 1 5 8 . 2 < / d o c u m e n t i d >  
     < s e n d e r i d > 2 3 1 2 < / s e n d e r i d >  
     < s e n d e r e m a i l > S U M M E R . C A R M A C K @ P R O C O P I O . C O M < / s e n d e r e m a i l >  
     < l a s t m o d i f i e d > 2 0 2 5 - 0 4 - 0 9 T 1 1 : 4 7 : 0 0 . 0 0 0 0 0 0 0 - 0 6 : 0 0 < / l a s t m o d i f i e d >  
     < d a t a b a s e > i M a n a g e D o c s < / d a t a b a s e >  
 < / p r o p e r t i e s > 
</file>

<file path=customXml/itemProps1.xml><?xml version="1.0" encoding="utf-8"?>
<ds:datastoreItem xmlns:ds="http://schemas.openxmlformats.org/officeDocument/2006/customXml" ds:itemID="{6C338A2F-9D02-4F21-86C0-60618C2C216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Leavitt, James</dc:creator>
  <cp:lastModifiedBy>Pinnock, Bella</cp:lastModifiedBy>
  <cp:revision>2</cp:revision>
  <dcterms:created xsi:type="dcterms:W3CDTF">2025-04-24T18:26:00Z</dcterms:created>
  <dcterms:modified xsi:type="dcterms:W3CDTF">2025-04-24T18:26:00Z</dcterms:modified>
</cp:coreProperties>
</file>